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93" w:left="2257" w:right="1182" w:bottom="609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-1.1pt;width:68.9pt;height:15.0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 xml:space="preserve">Potępić </w:t>
                  </w:r>
                  <w:r>
                    <w:rPr>
                      <w:rStyle w:val="CharStyle4"/>
                      <w:lang w:val="en-US" w:eastAsia="en-US" w:bidi="en-US"/>
                    </w:rPr>
                    <w:t>UFA!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7"/>
        </w:rPr>
        <w:t xml:space="preserve">Co </w:t>
      </w:r>
      <w:r>
        <w:rPr>
          <w:rStyle w:val="CharStyle8"/>
        </w:rPr>
        <w:t xml:space="preserve">się wydarzyło przed </w:t>
      </w:r>
      <w:r>
        <w:rPr>
          <w:rStyle w:val="CharStyle7"/>
        </w:rPr>
        <w:t xml:space="preserve">55-ciu laty </w:t>
      </w:r>
      <w:r>
        <w:rPr>
          <w:rStyle w:val="CharStyle8"/>
        </w:rPr>
        <w:t>na Wołyniu?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893" w:left="0" w:right="0" w:bottom="1305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</w:rPr>
        <w:t xml:space="preserve">armii hitlerowskiej utworzyli dwa bataliony </w:t>
      </w:r>
      <w:r>
        <w:rPr>
          <w:rStyle w:val="CharStyle12"/>
        </w:rPr>
        <w:t xml:space="preserve">- </w:t>
      </w:r>
      <w:r>
        <w:rPr>
          <w:rStyle w:val="CharStyle13"/>
        </w:rPr>
        <w:t xml:space="preserve">Nachtigall </w:t>
      </w:r>
      <w:r>
        <w:rPr>
          <w:rStyle w:val="CharStyle11"/>
        </w:rPr>
        <w:t xml:space="preserve">oraz </w:t>
      </w:r>
      <w:r>
        <w:rPr>
          <w:rStyle w:val="CharStyle13"/>
        </w:rPr>
        <w:t>Roland.</w:t>
      </w:r>
      <w:r>
        <w:rPr>
          <w:rStyle w:val="CharStyle11"/>
        </w:rPr>
        <w:t xml:space="preserve"> Pierwszy z nich razem z hitlerowcami wszedł do Lwowa, jego żołnierze pomagali hitlerowcom wyciągać z domów profesorów lwowskich, ich obecność we Lwowie stanowiła bodziec do rozprawiania się miejscowych nacjo</w:t>
        <w:softHyphen/>
        <w:t xml:space="preserve">nalistów ukraińskich z ludnością żydowską, te pogromy w pierwszych dniach lipca przeniosły się na całą Galicję. W grudniu 1941 roku oba bataliony zostały przekształcone w 201 batalion </w:t>
      </w:r>
      <w:r>
        <w:rPr>
          <w:rStyle w:val="CharStyle13"/>
          <w:lang w:val="en-US" w:eastAsia="en-US" w:bidi="en-US"/>
        </w:rPr>
        <w:t>Schutzmannscha.fi:,</w:t>
      </w:r>
      <w:r>
        <w:rPr>
          <w:rStyle w:val="CharStyle11"/>
          <w:lang w:val="en-US" w:eastAsia="en-US" w:bidi="en-US"/>
        </w:rPr>
        <w:t xml:space="preserve"> </w:t>
      </w:r>
      <w:r>
        <w:rPr>
          <w:rStyle w:val="CharStyle11"/>
        </w:rPr>
        <w:t>który w ramach zgrupo</w:t>
        <w:softHyphen/>
        <w:t xml:space="preserve">wania pod dowództwem generała </w:t>
      </w:r>
      <w:r>
        <w:rPr>
          <w:rStyle w:val="CharStyle11"/>
          <w:lang w:val="en-US" w:eastAsia="en-US" w:bidi="en-US"/>
        </w:rPr>
        <w:t xml:space="preserve">von </w:t>
      </w:r>
      <w:r>
        <w:rPr>
          <w:rStyle w:val="CharStyle11"/>
        </w:rPr>
        <w:t>dem Bach-Zelew- skiego dokonywał pacyfikacji wsi białoruskich.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rStyle w:val="CharStyle11"/>
        </w:rPr>
        <w:t xml:space="preserve">W miarę przesuwania się latem 1941 roku frontu na wschód, szły za nim tzw. „grupy pochodne” </w:t>
      </w:r>
      <w:r>
        <w:rPr>
          <w:rStyle w:val="CharStyle13"/>
        </w:rPr>
        <w:t>(pochidni hrupy)</w:t>
      </w:r>
      <w:r>
        <w:rPr>
          <w:rStyle w:val="CharStyle11"/>
        </w:rPr>
        <w:t xml:space="preserve"> nacjonalistów ukraińskich </w:t>
      </w:r>
      <w:r>
        <w:rPr>
          <w:rStyle w:val="CharStyle12"/>
        </w:rPr>
        <w:t xml:space="preserve">- </w:t>
      </w:r>
      <w:r>
        <w:rPr>
          <w:rStyle w:val="CharStyle11"/>
        </w:rPr>
        <w:t xml:space="preserve">banderowcy i melny- kowcy </w:t>
      </w:r>
      <w:r>
        <w:rPr>
          <w:rStyle w:val="CharStyle12"/>
        </w:rPr>
        <w:t xml:space="preserve">- </w:t>
      </w:r>
      <w:r>
        <w:rPr>
          <w:rStyle w:val="CharStyle11"/>
        </w:rPr>
        <w:t>szły tysiące ludzi, którzy w terenie tworzyli ukra</w:t>
        <w:softHyphen/>
        <w:t xml:space="preserve">ińską administrację terenową oraz policję. Tak też było na Wołyniu, ale nie w nieskończoność. Hitlerowski </w:t>
      </w:r>
      <w:r>
        <w:rPr>
          <w:rStyle w:val="CharStyle13"/>
        </w:rPr>
        <w:t xml:space="preserve">Blitzkrieg </w:t>
      </w:r>
      <w:r>
        <w:rPr>
          <w:rStyle w:val="CharStyle11"/>
        </w:rPr>
        <w:t>spalił na panewce, armie niemieckie zaznały klęski pod Sta</w:t>
        <w:softHyphen/>
        <w:t>lingradem i na Łuku Kurskim, zaczął się ich odwrót znad Wołgi, Donu, od gór Kaukazu, zwycięstwo Niemiec w tej wojnie nie było już pewne.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rStyle w:val="CharStyle11"/>
        </w:rPr>
        <w:t xml:space="preserve">Niemcy zintensyfikowali pobieranie kontyngentów z terytoriów okupowanych, nie wystarczało już nakładanie planów dostawy zbóż, mięsa, innych artykułów, trzeba było te artykuły odbierać od ludności silą </w:t>
      </w:r>
      <w:r>
        <w:rPr>
          <w:rStyle w:val="CharStyle12"/>
        </w:rPr>
        <w:t xml:space="preserve">- </w:t>
      </w:r>
      <w:r>
        <w:rPr>
          <w:rStyle w:val="CharStyle11"/>
        </w:rPr>
        <w:t>przy pomocy żandarmerii oraz ukraińskiej policji pomocniczej. Zaczęły</w:t>
        <w:br w:type="column"/>
        <w:t>się wywózki młodzieży na przymusowe roboty do Nie</w:t>
        <w:softHyphen/>
        <w:t>miec, odbywały się łapanki na Polaków i Ukraińców. Za opór w oddawaniu kontyngentów oraz uchylanie się od wywózki na roboty okupant hitlerowski zaczął stosować odpowiedzialność zbiorową w postaci mordów masowych i palenia całych wsi (Kortylisy); takie same metody sto</w:t>
        <w:softHyphen/>
        <w:t>sował on wobec wsi podejrzanych o współpracę z czerwoną partyzantka (Obórki, czeski Malin).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380"/>
      </w:pPr>
      <w:r>
        <w:rPr>
          <w:rStyle w:val="CharStyle11"/>
        </w:rPr>
        <w:t>Na Wołyniu i w Galicji w czasie okupacji niemieckiej polska ludność miejska i wiejska była przetrzebiona: inte</w:t>
        <w:softHyphen/>
        <w:t>ligencję Sowieci w większości aresztowali, pozostałe inte</w:t>
        <w:softHyphen/>
        <w:t>ligenckie rodziny wywieźli do Kazachstanu, na Sybir, zaś rodziny polskich osadników do archangielskiego obwodu. W tej sytuacji polska ludność Wołynia i Galicji została po</w:t>
        <w:softHyphen/>
        <w:t>zbawiona elity i pozostawała niezorganizowana, nie zdo</w:t>
        <w:softHyphen/>
        <w:t xml:space="preserve">ławszy się otrząsnąć po klęsce wrześniowej. A tu przyszła nowa okupacja </w:t>
      </w:r>
      <w:r>
        <w:rPr>
          <w:rStyle w:val="CharStyle12"/>
        </w:rPr>
        <w:t xml:space="preserve">- </w:t>
      </w:r>
      <w:r>
        <w:rPr>
          <w:rStyle w:val="CharStyle11"/>
        </w:rPr>
        <w:t>hitlerowska.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380"/>
        <w:sectPr>
          <w:type w:val="continuous"/>
          <w:pgSz w:w="16840" w:h="11900" w:orient="landscape"/>
          <w:pgMar w:top="893" w:left="2257" w:right="1182" w:bottom="1305" w:header="0" w:footer="3" w:gutter="0"/>
          <w:rtlGutter w:val="0"/>
          <w:cols w:num="2" w:space="1565"/>
          <w:noEndnote/>
          <w:docGrid w:linePitch="360"/>
        </w:sectPr>
      </w:pPr>
      <w:r>
        <w:rPr>
          <w:rStyle w:val="CharStyle11"/>
        </w:rPr>
        <w:t>W sytuacji, gdy Niemcy nie pozwolili na utworzenie ukraińskiego państwa nacjonalistycznego, gdy zaczęli nasilać pobieranie kontyngentów, wyłapywać młodzież na roboty do Niemiec, dużo młodzieży ukraińskiej oraz mężczyźni w sile wieku „poszło do lasu”, dokąd wzywała ich OUN Bandery, która pod koniec 1942 roku już zorientowała się, że Niemcy poniosą klęskę w tej wojnie, a więc nadeszła okazja, by zacząć budować ukraińskie państwo nacjonalistyczne we</w:t>
        <w:softHyphen/>
        <w:t>dług schematu: Niemców wypędzimy, Sowietów (na Wołyń</w:t>
      </w:r>
    </w:p>
    <w:p>
      <w:pPr>
        <w:widowControl w:val="0"/>
        <w:spacing w:before="116" w:after="11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878" w:left="0" w:right="0" w:bottom="5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573" w:lineRule="exact"/>
      </w:pPr>
      <w:r>
        <w:pict>
          <v:shape id="_x0000_s1027" type="#_x0000_t202" style="position:absolute;margin-left:0.5pt;margin-top:0.1pt;width:14.15pt;height:13.4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15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653.75pt;margin-top:0.1pt;width:13.7pt;height:13.2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17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878" w:left="2257" w:right="1182" w:bottom="59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4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4">
    <w:name w:val="MSG_EN_FONT_STYLE_NAME_TEMPLATE_ROLE_NUMBER MSG_EN_FONT_STYLE_NAME_BY_ROLE_TEXT 4 Exact"/>
    <w:basedOn w:val="CharStyle3"/>
    <w:rPr>
      <w:lang w:val="pl-PL" w:eastAsia="pl-PL" w:bidi="pl-PL"/>
      <w:u w:val="single"/>
      <w:rFonts w:ascii="Times New Roman" w:eastAsia="Times New Roman" w:hAnsi="Times New Roman" w:cs="Times New Roman"/>
      <w:w w:val="100"/>
      <w:spacing w:val="0"/>
      <w:color w:val="5B5856"/>
      <w:position w:val="0"/>
    </w:rPr>
  </w:style>
  <w:style w:type="character" w:customStyle="1" w:styleId="CharStyle6">
    <w:name w:val="MSG_EN_FONT_STYLE_NAME_TEMPLATE_ROLE_NUMBER MSG_EN_FONT_STYLE_NAME_BY_ROLE_TEXT 3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MSG_EN_FONT_STYLE_NAME_TEMPLATE_ROLE_NUMBER MSG_EN_FONT_STYLE_NAME_BY_ROLE_TEXT 3"/>
    <w:basedOn w:val="CharStyle6"/>
    <w:rPr>
      <w:lang w:val="pl-PL" w:eastAsia="pl-PL" w:bidi="pl-PL"/>
      <w:rFonts w:ascii="Times New Roman" w:eastAsia="Times New Roman" w:hAnsi="Times New Roman" w:cs="Times New Roman"/>
      <w:w w:val="100"/>
      <w:spacing w:val="0"/>
      <w:color w:val="706E6B"/>
      <w:position w:val="0"/>
    </w:rPr>
  </w:style>
  <w:style w:type="character" w:customStyle="1" w:styleId="CharStyle8">
    <w:name w:val="MSG_EN_FONT_STYLE_NAME_TEMPLATE_ROLE_NUMBER MSG_EN_FONT_STYLE_NAME_BY_ROLE_TEXT 3"/>
    <w:basedOn w:val="CharStyle6"/>
    <w:rPr>
      <w:lang w:val="pl-PL" w:eastAsia="pl-PL" w:bidi="pl-PL"/>
      <w:rFonts w:ascii="Times New Roman" w:eastAsia="Times New Roman" w:hAnsi="Times New Roman" w:cs="Times New Roman"/>
      <w:w w:val="100"/>
      <w:spacing w:val="0"/>
      <w:color w:val="5B5856"/>
      <w:position w:val="0"/>
    </w:rPr>
  </w:style>
  <w:style w:type="character" w:customStyle="1" w:styleId="CharStyle10">
    <w:name w:val="MSG_EN_FONT_STYLE_NAME_TEMPLATE_ROLE_NUMBER MSG_EN_FONT_STYLE_NAME_BY_ROLE_TEXT 2_"/>
    <w:basedOn w:val="DefaultParagraphFont"/>
    <w:link w:val="Style9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1">
    <w:name w:val="MSG_EN_FONT_STYLE_NAME_TEMPLATE_ROLE_NUMBER MSG_EN_FONT_STYLE_NAME_BY_ROLE_TEXT 2"/>
    <w:basedOn w:val="CharStyle10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3A3937"/>
      <w:position w:val="0"/>
    </w:rPr>
  </w:style>
  <w:style w:type="character" w:customStyle="1" w:styleId="CharStyle12">
    <w:name w:val="MSG_EN_FONT_STYLE_NAME_TEMPLATE_ROLE_NUMBER MSG_EN_FONT_STYLE_NAME_BY_ROLE_TEXT 2"/>
    <w:basedOn w:val="CharStyle10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5B5856"/>
      <w:position w:val="0"/>
    </w:rPr>
  </w:style>
  <w:style w:type="character" w:customStyle="1" w:styleId="CharStyle13">
    <w:name w:val="MSG_EN_FONT_STYLE_NAME_TEMPLATE_ROLE_NUMBER MSG_EN_FONT_STYLE_NAME_BY_ROLE_TEXT 2 + MSG_EN_FONT_STYLE_MODIFER_ITALIC"/>
    <w:basedOn w:val="CharStyle10"/>
    <w:rPr>
      <w:lang w:val="pl-PL" w:eastAsia="pl-PL" w:bidi="pl-PL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3A3937"/>
      <w:position w:val="0"/>
    </w:rPr>
  </w:style>
  <w:style w:type="character" w:customStyle="1" w:styleId="CharStyle14">
    <w:name w:val="MSG_EN_FONT_STYLE_NAME_TEMPLATE_ROLE_NUMBER MSG_EN_FONT_STYLE_NAME_BY_ROLE_TEXT 2 Exact"/>
    <w:basedOn w:val="DefaultParagraphFont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5">
    <w:name w:val="MSG_EN_FONT_STYLE_NAME_TEMPLATE_ROLE_NUMBER MSG_EN_FONT_STYLE_NAME_BY_ROLE_TEXT 2 Exact"/>
    <w:basedOn w:val="CharStyle10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3A3937"/>
      <w:position w:val="0"/>
    </w:rPr>
  </w:style>
  <w:style w:type="character" w:customStyle="1" w:styleId="CharStyle16">
    <w:name w:val="MSG_EN_FONT_STYLE_NAME_TEMPLATE_ROLE_NUMBER MSG_EN_FONT_STYLE_NAME_BY_ROLE_TEXT 3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7">
    <w:name w:val="MSG_EN_FONT_STYLE_NAME_TEMPLATE_ROLE_NUMBER MSG_EN_FONT_STYLE_NAME_BY_ROLE_TEXT 3 Exact"/>
    <w:basedOn w:val="CharStyle6"/>
    <w:rPr>
      <w:lang w:val="pl-PL" w:eastAsia="pl-PL" w:bidi="pl-PL"/>
      <w:rFonts w:ascii="Times New Roman" w:eastAsia="Times New Roman" w:hAnsi="Times New Roman" w:cs="Times New Roman"/>
      <w:w w:val="100"/>
      <w:spacing w:val="0"/>
      <w:color w:val="3A3937"/>
      <w:position w:val="0"/>
    </w:rPr>
  </w:style>
  <w:style w:type="paragraph" w:customStyle="1" w:styleId="Style2">
    <w:name w:val="MSG_EN_FONT_STYLE_NAME_TEMPLATE_ROLE_NUMBER MSG_EN_FONT_STYLE_NAME_BY_ROLE_TEXT 4"/>
    <w:basedOn w:val="Normal"/>
    <w:link w:val="CharStyle3"/>
    <w:pPr>
      <w:widowControl w:val="0"/>
      <w:shd w:val="clear" w:color="auto" w:fill="FFFFFF"/>
      <w:spacing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5">
    <w:name w:val="MSG_EN_FONT_STYLE_NAME_TEMPLATE_ROLE_NUMBER MSG_EN_FONT_STYLE_NAME_BY_ROLE_TEXT 3"/>
    <w:basedOn w:val="Normal"/>
    <w:link w:val="CharStyle6"/>
    <w:pPr>
      <w:widowControl w:val="0"/>
      <w:shd w:val="clear" w:color="auto" w:fill="FFFFFF"/>
      <w:jc w:val="right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MSG_EN_FONT_STYLE_NAME_TEMPLATE_ROLE_NUMBER MSG_EN_FONT_STYLE_NAME_BY_ROLE_TEXT 2"/>
    <w:basedOn w:val="Normal"/>
    <w:link w:val="CharStyle10"/>
    <w:pPr>
      <w:widowControl w:val="0"/>
      <w:shd w:val="clear" w:color="auto" w:fill="FFFFFF"/>
      <w:jc w:val="both"/>
      <w:spacing w:line="336" w:lineRule="exact"/>
    </w:pPr>
    <w:rPr>
      <w:b w:val="0"/>
      <w:bCs w:val="0"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jan</dc:creator>
  <cp:keywords/>
</cp:coreProperties>
</file>